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572" w:hanging="286"/>
        <w:rPr>
          <w:rFonts w:ascii="Quattrocento" w:cs="Quattrocento" w:eastAsia="Quattrocento" w:hAnsi="Quattrocento"/>
          <w:b w:val="1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(December, 2020). </w:t>
      </w:r>
      <w:r w:rsidDel="00000000" w:rsidR="00000000" w:rsidRPr="00000000">
        <w:rPr>
          <w:rFonts w:ascii="Quattrocento" w:cs="Quattrocento" w:eastAsia="Quattrocento" w:hAnsi="Quattrocento"/>
          <w:i w:val="1"/>
          <w:sz w:val="24"/>
          <w:szCs w:val="24"/>
          <w:rtl w:val="0"/>
        </w:rPr>
        <w:t xml:space="preserve">Todd Howard: Worldbuilding in Tamriel and Beyond</w:t>
      </w: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. New York, New York: Bloomsbury Academic.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Quattrocento" w:cs="Quattrocento" w:eastAsia="Quattrocento" w:hAnsi="Quattrocen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Peer-Reviewed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572" w:hanging="286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(2022) Designing with and for Ka’nikuhli:yo: An exploration in Indigenously Determined Game Design. </w:t>
      </w:r>
      <w:r w:rsidDel="00000000" w:rsidR="00000000" w:rsidRPr="00000000">
        <w:rPr>
          <w:rFonts w:ascii="Quattrocento" w:cs="Quattrocento" w:eastAsia="Quattrocento" w:hAnsi="Quattrocento"/>
          <w:i w:val="1"/>
          <w:sz w:val="24"/>
          <w:szCs w:val="24"/>
          <w:rtl w:val="0"/>
        </w:rPr>
        <w:t xml:space="preserve">Computers and Composition Online. </w:t>
      </w: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 Available at http://cconlinejournal.org/fall2022/DesigningGoodMind/index.html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Quattrocento" w:cs="Quattrocento" w:eastAsia="Quattrocento" w:hAnsi="Quattrocen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Peer-Reviewed Book Chapters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630" w:hanging="36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(2022). Developing A Strong Fire: Bridging Critical Making, Participatory Design, and Game Design. In Holmes, S. and M. Farris (Eds.),   </w:t>
      </w:r>
      <w:r w:rsidDel="00000000" w:rsidR="00000000" w:rsidRPr="00000000">
        <w:rPr>
          <w:rFonts w:ascii="Quattrocento" w:cs="Quattrocento" w:eastAsia="Quattrocento" w:hAnsi="Quattrocento"/>
          <w:i w:val="1"/>
          <w:sz w:val="24"/>
          <w:szCs w:val="24"/>
          <w:rtl w:val="0"/>
        </w:rPr>
        <w:t xml:space="preserve">Reprogrammable Rhetoric</w:t>
      </w: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. Utah State University Press.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0" w:hanging="36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630" w:hanging="36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(2022). Gaming from the margins: Indigenous representation, critical gaming, and pedagogy . In Flynn, S. and M. Marotta (Eds.), </w:t>
      </w:r>
      <w:r w:rsidDel="00000000" w:rsidR="00000000" w:rsidRPr="00000000">
        <w:rPr>
          <w:rFonts w:ascii="Quattrocento" w:cs="Quattrocento" w:eastAsia="Quattrocento" w:hAnsi="Quattrocento"/>
          <w:i w:val="1"/>
          <w:sz w:val="24"/>
          <w:szCs w:val="24"/>
          <w:rtl w:val="0"/>
        </w:rPr>
        <w:t xml:space="preserve">Critical Pedagogy: Teaching for Racial Inclusion in the Digital Age</w:t>
      </w: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630" w:hanging="36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630" w:hanging="36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(2021). Games and Learning (HCOL 41333). In Ferdig, Richard E.; Baumgartner, Emily; Gandolfi, Enrico (2021): </w:t>
      </w:r>
      <w:r w:rsidDel="00000000" w:rsidR="00000000" w:rsidRPr="00000000">
        <w:rPr>
          <w:rFonts w:ascii="Quattrocento" w:cs="Quattrocento" w:eastAsia="Quattrocento" w:hAnsi="Quattrocento"/>
          <w:i w:val="1"/>
          <w:sz w:val="24"/>
          <w:szCs w:val="24"/>
          <w:rtl w:val="0"/>
        </w:rPr>
        <w:t xml:space="preserve">Teaching the Game: A collection of syllabi for game design, development, and implementation, Vol. 2</w:t>
      </w: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. Carnegie Mellon University. Book. </w:t>
      </w:r>
      <w:hyperlink r:id="rId6">
        <w:r w:rsidDel="00000000" w:rsidR="00000000" w:rsidRPr="00000000">
          <w:rPr>
            <w:rFonts w:ascii="Quattrocento" w:cs="Quattrocento" w:eastAsia="Quattrocento" w:hAnsi="Quattrocento"/>
            <w:color w:val="1155cc"/>
            <w:sz w:val="24"/>
            <w:szCs w:val="24"/>
            <w:u w:val="single"/>
            <w:rtl w:val="0"/>
          </w:rPr>
          <w:t xml:space="preserve">https://doi.org/10.1184/R1/14867193.v4</w:t>
        </w:r>
      </w:hyperlink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Quattrocento" w:cs="Quattrocento" w:eastAsia="Quattrocento" w:hAnsi="Quattrocen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Peer-Reviewed Presentations (National)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270" w:firstLine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(2021, July). “Games for Change in the Classroom: Pandemic Edition”. Games for Change Conference.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270" w:firstLine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270" w:firstLine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(2021, April). “Gaming with A Good Mind: Using Indigenously Created Games as Curriculum”. Games Based Learning Virtual Conference.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270" w:firstLine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270" w:firstLine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(2020, October). “Distributed Design: Combining Critical Making and Indigenously Determined Game Design”. SIGDOC. Denton Tx.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270" w:firstLine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270" w:firstLine="0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sz w:val="24"/>
          <w:szCs w:val="24"/>
          <w:rtl w:val="0"/>
        </w:rPr>
        <w:t xml:space="preserve">Sierra, W. (2019, June). “Catching ‘Em All: Interdisciplinary Game Studies Research and Publication”. Computers and Writing. Michigan State University.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ttrocent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1184/R1/14867193.v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-regular.ttf"/><Relationship Id="rId2" Type="http://schemas.openxmlformats.org/officeDocument/2006/relationships/font" Target="fonts/Quattrocent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